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20" w:lineRule="exact"/>
        <w:jc w:val="right"/>
        <w:textAlignment w:val="auto"/>
        <w:outlineLvl w:val="9"/>
        <w:rPr>
          <w:rFonts w:hint="eastAsia"/>
          <w:color w:val="auto"/>
        </w:rPr>
      </w:pPr>
    </w:p>
    <w:p>
      <w:pPr>
        <w:keepNext w:val="0"/>
        <w:keepLines w:val="0"/>
        <w:pageBreakBefore w:val="0"/>
        <w:widowControl/>
        <w:kinsoku/>
        <w:wordWrap/>
        <w:overflowPunct/>
        <w:topLinePunct w:val="0"/>
        <w:autoSpaceDE/>
        <w:autoSpaceDN/>
        <w:bidi w:val="0"/>
        <w:adjustRightInd/>
        <w:snapToGrid/>
        <w:spacing w:line="520" w:lineRule="exact"/>
        <w:jc w:val="right"/>
        <w:textAlignment w:val="auto"/>
        <w:outlineLvl w:val="9"/>
        <w:rPr>
          <w:rFonts w:hint="eastAsia"/>
          <w:color w:val="auto"/>
        </w:rPr>
      </w:pPr>
    </w:p>
    <w:p>
      <w:pPr>
        <w:spacing w:line="560" w:lineRule="exact"/>
        <w:jc w:val="right"/>
        <w:rPr>
          <w:color w:val="auto"/>
        </w:rPr>
      </w:pPr>
      <w:r>
        <w:rPr>
          <w:rFonts w:hint="eastAsia"/>
          <w:color w:val="auto"/>
        </w:rPr>
        <w:t>粤技管〔2021〕</w:t>
      </w:r>
      <w:r>
        <w:rPr>
          <w:rFonts w:hint="eastAsia"/>
          <w:color w:val="auto"/>
          <w:lang w:val="en-US" w:eastAsia="zh-CN"/>
        </w:rPr>
        <w:t>3</w:t>
      </w:r>
      <w:r>
        <w:rPr>
          <w:rFonts w:hint="eastAsia"/>
          <w:color w:val="auto"/>
        </w:rPr>
        <w:t>号</w:t>
      </w: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outlineLvl w:val="9"/>
        <w:rPr>
          <w:rStyle w:val="9"/>
          <w:rFonts w:ascii="仿宋_GB2312" w:hAnsi="仿宋_GB2312" w:cs="仿宋_GB2312"/>
        </w:rPr>
      </w:pPr>
      <w:bookmarkStart w:id="0" w:name="_GoBack"/>
      <w:bookmarkEnd w:id="0"/>
    </w:p>
    <w:p>
      <w:pPr>
        <w:widowControl w:val="0"/>
        <w:jc w:val="center"/>
        <w:rPr>
          <w:rFonts w:eastAsia="创艺简标宋"/>
          <w:sz w:val="40"/>
          <w:szCs w:val="44"/>
        </w:rPr>
      </w:pPr>
      <w:r>
        <w:rPr>
          <w:rFonts w:hint="eastAsia" w:eastAsia="创艺简标宋"/>
          <w:sz w:val="40"/>
          <w:szCs w:val="44"/>
        </w:rPr>
        <w:t>关于举办全省技工院校教师课程思政教学能力提升培训班的通知</w:t>
      </w:r>
    </w:p>
    <w:p>
      <w:pPr>
        <w:jc w:val="left"/>
        <w:rPr>
          <w:rStyle w:val="9"/>
          <w:rFonts w:ascii="仿宋_GB2312" w:hAnsi="仿宋_GB2312" w:cs="仿宋_GB231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outlineLvl w:val="9"/>
        <w:rPr>
          <w:color w:val="auto"/>
          <w:kern w:val="0"/>
          <w:szCs w:val="32"/>
        </w:rPr>
      </w:pPr>
      <w:r>
        <w:rPr>
          <w:rFonts w:hint="eastAsia"/>
          <w:color w:val="auto"/>
          <w:kern w:val="0"/>
          <w:szCs w:val="32"/>
        </w:rPr>
        <w:t>各地级以上市人力资源和社会保障局职业能力建设（培训就业、技工教育管理）科（处），各有关技工院校：</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kern w:val="0"/>
          <w:szCs w:val="32"/>
        </w:rPr>
      </w:pPr>
      <w:r>
        <w:rPr>
          <w:rFonts w:hint="eastAsia"/>
          <w:color w:val="auto"/>
          <w:kern w:val="0"/>
          <w:szCs w:val="32"/>
        </w:rPr>
        <w:t>根据我省2021年技工院校师资培训工作计划，为提升教师课程思政教学能力，把立德树人作为中心环节，把思想政治工作贯穿教育教学全过程，实现全程育人、全方位育人，提高教学质量。定于2021年4月举办一期技工院校教师课程思政教学能力提升培训班。现就有关事项通知如下：</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kern w:val="0"/>
          <w:szCs w:val="32"/>
        </w:rPr>
      </w:pPr>
      <w:r>
        <w:rPr>
          <w:rStyle w:val="9"/>
          <w:rFonts w:hint="eastAsia" w:eastAsia="黑体"/>
          <w:bCs/>
          <w:kern w:val="0"/>
          <w:szCs w:val="32"/>
          <w:lang w:eastAsia="zh-CN"/>
        </w:rPr>
        <w:t>一、</w:t>
      </w:r>
      <w:r>
        <w:rPr>
          <w:rStyle w:val="9"/>
          <w:rFonts w:hint="eastAsia" w:eastAsia="黑体"/>
          <w:bCs/>
          <w:kern w:val="0"/>
          <w:szCs w:val="32"/>
        </w:rPr>
        <w:t>培训目标和内容</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ascii="仿宋_GB2312" w:hAnsi="仿宋_GB2312" w:cs="仿宋_GB2312"/>
          <w:color w:val="auto"/>
          <w:lang w:eastAsia="zh-CN"/>
        </w:rPr>
        <w:t>（一）</w:t>
      </w:r>
      <w:r>
        <w:rPr>
          <w:rFonts w:hint="eastAsia" w:ascii="仿宋_GB2312" w:hAnsi="仿宋_GB2312" w:cs="仿宋_GB2312"/>
          <w:color w:val="auto"/>
        </w:rPr>
        <w:t>培训目标：</w:t>
      </w:r>
      <w:r>
        <w:rPr>
          <w:rFonts w:hint="eastAsia"/>
          <w:color w:val="auto"/>
        </w:rPr>
        <w:t>提升教师课程思政教学能力，把立德树人作为中心环节，把思想政治工作贯穿教育教学全过程，实现全程育人、全方位育人，提高教学质量。</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ascii="仿宋_GB2312" w:hAnsi="仿宋_GB2312" w:cs="仿宋_GB2312"/>
          <w:bCs/>
          <w:color w:val="000000" w:themeColor="text1"/>
          <w:szCs w:val="32"/>
          <w14:textFill>
            <w14:solidFill>
              <w14:schemeClr w14:val="tx1"/>
            </w14:solidFill>
          </w14:textFill>
        </w:rPr>
      </w:pPr>
      <w:r>
        <w:rPr>
          <w:rFonts w:hint="eastAsia"/>
          <w:color w:val="auto"/>
        </w:rPr>
        <w:t>（二）培训内容：课程思政内涵和要求，课程思政元素提取和教学设计实施。</w:t>
      </w:r>
      <w:r>
        <w:rPr>
          <w:rStyle w:val="9"/>
          <w:rFonts w:hint="eastAsia" w:ascii="仿宋_GB2312" w:hAnsi="仿宋_GB2312" w:cs="仿宋_GB2312"/>
          <w:bCs/>
          <w:color w:val="000000" w:themeColor="text1"/>
          <w:szCs w:val="32"/>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二、培训对象</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bCs/>
          <w:color w:val="auto"/>
          <w:kern w:val="0"/>
          <w:szCs w:val="32"/>
        </w:rPr>
      </w:pPr>
      <w:r>
        <w:rPr>
          <w:rFonts w:hint="eastAsia"/>
          <w:bCs/>
          <w:color w:val="auto"/>
          <w:kern w:val="0"/>
          <w:szCs w:val="32"/>
        </w:rPr>
        <w:t>广东省技工院校骨干教师、教务管</w:t>
      </w:r>
      <w:r>
        <w:rPr>
          <w:rFonts w:hint="eastAsia"/>
          <w:bCs/>
          <w:color w:val="auto"/>
          <w:kern w:val="0"/>
          <w:szCs w:val="32"/>
          <w:lang w:eastAsia="zh-CN"/>
        </w:rPr>
        <w:t>理</w:t>
      </w:r>
      <w:r>
        <w:rPr>
          <w:rFonts w:hint="eastAsia"/>
          <w:bCs/>
          <w:color w:val="auto"/>
          <w:kern w:val="0"/>
          <w:szCs w:val="32"/>
        </w:rPr>
        <w:t>人员等。</w:t>
      </w:r>
      <w:r>
        <w:rPr>
          <w:rFonts w:hint="eastAsia"/>
        </w:rPr>
        <w:t>原则每学校不超过</w:t>
      </w:r>
      <w:r>
        <w:t>5</w:t>
      </w:r>
      <w:r>
        <w:rPr>
          <w:rFonts w:hint="eastAsia"/>
        </w:rPr>
        <w:t>人，总</w:t>
      </w:r>
      <w:r>
        <w:rPr>
          <w:rFonts w:hint="eastAsia"/>
          <w:color w:val="auto"/>
        </w:rPr>
        <w:t>人数</w:t>
      </w:r>
      <w:r>
        <w:rPr>
          <w:color w:val="auto"/>
        </w:rPr>
        <w:t>不超过</w:t>
      </w:r>
      <w:r>
        <w:rPr>
          <w:rFonts w:hint="eastAsia"/>
          <w:bCs/>
          <w:color w:val="auto"/>
          <w:kern w:val="0"/>
          <w:szCs w:val="32"/>
        </w:rPr>
        <w:t>60人。</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bCs/>
          <w:color w:val="auto"/>
          <w:kern w:val="0"/>
          <w:szCs w:val="32"/>
        </w:rPr>
        <w:t>参训人员须自觉遵守疫情防控各项规定，每日做好自我健康监测，确保参加培训前身体状况良好，准备口罩等个人防护用品，做好个人疫情防护工作。14天内有确诊病例接触史或疑似病例接触史的人员及发热患者不能参加培训。</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三、培训师资</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Fonts w:ascii="仿宋_GB2312" w:hAnsi="仿宋_GB2312" w:cs="仿宋_GB2312"/>
          <w:bCs/>
          <w:color w:val="auto"/>
          <w:kern w:val="0"/>
          <w:szCs w:val="32"/>
        </w:rPr>
      </w:pPr>
      <w:r>
        <w:rPr>
          <w:rFonts w:hint="eastAsia"/>
          <w:color w:val="auto"/>
        </w:rPr>
        <w:t>本次培训拟邀请</w:t>
      </w:r>
      <w:r>
        <w:rPr>
          <w:rFonts w:hint="eastAsia"/>
          <w:bCs/>
          <w:color w:val="auto"/>
          <w:kern w:val="0"/>
          <w:szCs w:val="32"/>
        </w:rPr>
        <w:t>广东省技工教育教研会教学组副组长、中山市技工教育研究会会长、全国职业教育德育先进工作者、中山市技师学院教育管理正高级讲师</w:t>
      </w:r>
      <w:r>
        <w:rPr>
          <w:rFonts w:hint="eastAsia"/>
          <w:b/>
          <w:color w:val="auto"/>
        </w:rPr>
        <w:t>谭纯</w:t>
      </w:r>
      <w:r>
        <w:rPr>
          <w:rFonts w:hint="eastAsia" w:ascii="仿宋_GB2312" w:hAnsi="仿宋_GB2312" w:cs="仿宋_GB2312"/>
          <w:bCs/>
          <w:color w:val="auto"/>
          <w:kern w:val="0"/>
          <w:szCs w:val="32"/>
        </w:rPr>
        <w:t>;</w:t>
      </w:r>
      <w:r>
        <w:rPr>
          <w:rFonts w:hint="eastAsia"/>
          <w:bCs/>
          <w:color w:val="auto"/>
          <w:kern w:val="0"/>
          <w:szCs w:val="32"/>
        </w:rPr>
        <w:t>人社部技工院校网络师资研修院专家、全国教育科研先进个人、中山市技师学院职教研究所所长，正高级讲师</w:t>
      </w:r>
      <w:r>
        <w:rPr>
          <w:rFonts w:hint="eastAsia"/>
          <w:b/>
          <w:color w:val="auto"/>
        </w:rPr>
        <w:t>雷三元</w:t>
      </w:r>
      <w:r>
        <w:rPr>
          <w:rFonts w:hint="eastAsia"/>
          <w:b/>
          <w:color w:val="auto"/>
          <w:sz w:val="30"/>
          <w:szCs w:val="30"/>
        </w:rPr>
        <w:t>。</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eastAsia="黑体"/>
          <w:bCs/>
          <w:szCs w:val="32"/>
        </w:rPr>
        <w:t>四、培训安排</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color w:val="auto"/>
        </w:rPr>
        <w:t>（</w:t>
      </w:r>
      <w:r>
        <w:rPr>
          <w:rFonts w:hint="eastAsia"/>
          <w:color w:val="auto"/>
        </w:rPr>
        <w:t>一）具体培训工作由东莞市技师学院承办。</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（二）授课形式：专题讲座、案例分析、实践操作、现场教学等多种培训形式。</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（三）培训时间：2021年4月19日—4月2</w:t>
      </w:r>
      <w:r>
        <w:rPr>
          <w:color w:val="auto"/>
        </w:rPr>
        <w:t>0</w:t>
      </w:r>
      <w:r>
        <w:rPr>
          <w:rFonts w:hint="eastAsia"/>
          <w:color w:val="auto"/>
        </w:rPr>
        <w:t>日，共</w:t>
      </w:r>
      <w:r>
        <w:rPr>
          <w:color w:val="auto"/>
        </w:rPr>
        <w:t>2</w:t>
      </w:r>
      <w:r>
        <w:rPr>
          <w:rFonts w:hint="eastAsia"/>
          <w:color w:val="auto"/>
        </w:rPr>
        <w:t>天。</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（四）培训地点：东莞市技师学院职教城校区（东莞市横沥镇职教路6号）。</w:t>
      </w:r>
    </w:p>
    <w:p>
      <w:pPr>
        <w:keepNext w:val="0"/>
        <w:keepLines w:val="0"/>
        <w:pageBreakBefore w:val="0"/>
        <w:widowControl/>
        <w:kinsoku/>
        <w:wordWrap/>
        <w:overflowPunct/>
        <w:topLinePunct w:val="0"/>
        <w:autoSpaceDE/>
        <w:autoSpaceDN/>
        <w:bidi w:val="0"/>
        <w:adjustRightInd/>
        <w:snapToGrid/>
        <w:spacing w:line="520" w:lineRule="exact"/>
        <w:ind w:firstLine="474" w:firstLineChars="150"/>
        <w:textAlignment w:val="auto"/>
        <w:outlineLvl w:val="9"/>
        <w:rPr>
          <w:color w:val="auto"/>
        </w:rPr>
      </w:pPr>
      <w:r>
        <w:rPr>
          <w:rFonts w:hint="eastAsia"/>
          <w:color w:val="auto"/>
        </w:rPr>
        <w:t>（五）培训证书：培训结束，考核合格者，颁发培训证书（可作专业技术人员继续教育学时证明）。</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五、报到安排</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报到时间及地点：住宿学员4月18日14:00-17:30华通城大酒店（东莞市企石镇湖滨南路一号、电话：0769-86732288）报到；不住宿学员4月19日8:30东莞市技师学院职教城校区行政楼四楼多功能厅报到。</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六、培训费用</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bCs/>
          <w:color w:val="auto"/>
          <w:kern w:val="0"/>
          <w:szCs w:val="32"/>
        </w:rPr>
      </w:pPr>
      <w:r>
        <w:rPr>
          <w:rFonts w:hint="eastAsia"/>
          <w:bCs/>
          <w:color w:val="auto"/>
          <w:kern w:val="0"/>
          <w:szCs w:val="32"/>
        </w:rPr>
        <w:t>（一）免培训费。</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bCs/>
          <w:color w:val="auto"/>
          <w:kern w:val="0"/>
          <w:szCs w:val="32"/>
        </w:rPr>
      </w:pPr>
      <w:r>
        <w:rPr>
          <w:rFonts w:hint="eastAsia"/>
          <w:bCs/>
          <w:color w:val="auto"/>
          <w:kern w:val="0"/>
          <w:szCs w:val="32"/>
        </w:rPr>
        <w:t>（二）东莞市市外学员免费提供食宿及酒店与学校交通，城际交通自理。</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bCs/>
          <w:color w:val="auto"/>
          <w:kern w:val="0"/>
          <w:szCs w:val="32"/>
        </w:rPr>
      </w:pPr>
      <w:r>
        <w:rPr>
          <w:rFonts w:hint="eastAsia"/>
          <w:bCs/>
          <w:color w:val="auto"/>
          <w:kern w:val="0"/>
          <w:szCs w:val="32"/>
        </w:rPr>
        <w:t>（三）东莞市本市学员伙食费、住宿费、交通费自理。</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Style w:val="9"/>
          <w:rFonts w:eastAsia="黑体"/>
          <w:bCs/>
          <w:szCs w:val="32"/>
        </w:rPr>
      </w:pPr>
      <w:r>
        <w:rPr>
          <w:rStyle w:val="9"/>
          <w:rFonts w:hint="eastAsia" w:eastAsia="黑体"/>
          <w:bCs/>
          <w:szCs w:val="32"/>
        </w:rPr>
        <w:t>七、报名方式</w:t>
      </w:r>
    </w:p>
    <w:p>
      <w:pPr>
        <w:keepNext w:val="0"/>
        <w:keepLines w:val="0"/>
        <w:pageBreakBefore w:val="0"/>
        <w:widowControl/>
        <w:kinsoku/>
        <w:wordWrap/>
        <w:overflowPunct/>
        <w:topLinePunct w:val="0"/>
        <w:autoSpaceDE/>
        <w:autoSpaceDN/>
        <w:bidi w:val="0"/>
        <w:adjustRightInd/>
        <w:snapToGrid/>
        <w:spacing w:line="520" w:lineRule="exact"/>
        <w:ind w:firstLine="541" w:firstLineChars="196"/>
        <w:textAlignment w:val="auto"/>
        <w:outlineLvl w:val="9"/>
        <w:rPr>
          <w:bCs/>
          <w:color w:val="auto"/>
          <w:kern w:val="0"/>
          <w:szCs w:val="32"/>
        </w:rPr>
      </w:pPr>
      <w:r>
        <w:rPr>
          <w:color w:val="auto"/>
          <w:sz w:val="28"/>
          <w:szCs w:val="28"/>
        </w:rPr>
        <w:drawing>
          <wp:anchor distT="0" distB="0" distL="114300" distR="114300" simplePos="0" relativeHeight="251660288" behindDoc="0" locked="0" layoutInCell="1" allowOverlap="1">
            <wp:simplePos x="0" y="0"/>
            <wp:positionH relativeFrom="column">
              <wp:posOffset>4171315</wp:posOffset>
            </wp:positionH>
            <wp:positionV relativeFrom="paragraph">
              <wp:posOffset>89535</wp:posOffset>
            </wp:positionV>
            <wp:extent cx="1440180" cy="1440180"/>
            <wp:effectExtent l="0" t="0" r="8255"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l="4465" t="76194" r="66223" b="6051"/>
                    <a:stretch>
                      <a:fillRect/>
                    </a:stretch>
                  </pic:blipFill>
                  <pic:spPr>
                    <a:xfrm>
                      <a:off x="0" y="0"/>
                      <a:ext cx="1440000" cy="1440000"/>
                    </a:xfrm>
                    <a:prstGeom prst="rect">
                      <a:avLst/>
                    </a:prstGeom>
                    <a:noFill/>
                    <a:ln>
                      <a:noFill/>
                    </a:ln>
                  </pic:spPr>
                </pic:pic>
              </a:graphicData>
            </a:graphic>
          </wp:anchor>
        </w:drawing>
      </w:r>
      <w:r>
        <w:rPr>
          <w:rFonts w:hint="eastAsia"/>
          <w:b/>
          <w:kern w:val="0"/>
          <w:szCs w:val="32"/>
        </w:rPr>
        <w:t>请各学校于4月15日前，扫描二维码或登录网址https://www.wjx.top/vj/tI9JIAI.aspx报名，并上传已盖好单位公章的报名表。联系人：谢老师，联系电话：0769-22201627，18038310286。</w:t>
      </w:r>
      <w:r>
        <w:rPr>
          <w:rFonts w:hint="eastAsia"/>
          <w:bCs/>
          <w:kern w:val="0"/>
          <w:szCs w:val="32"/>
        </w:rPr>
        <w:t>按报名先后确定培训人员名单，额满即止。报名经确认成功后（以邮件或电话回复为准），各院校原则上不得随意更换参训人员。</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bCs/>
          <w:color w:val="auto"/>
          <w:kern w:val="0"/>
          <w:szCs w:val="32"/>
        </w:rPr>
      </w:pPr>
      <w:r>
        <w:rPr>
          <w:rFonts w:hint="eastAsia"/>
          <w:bCs/>
          <w:color w:val="auto"/>
          <w:kern w:val="0"/>
          <w:szCs w:val="32"/>
        </w:rPr>
        <w:t>省厅技工教育管理处联系人：林</w:t>
      </w:r>
      <w:r>
        <w:rPr>
          <w:rFonts w:hint="eastAsia"/>
          <w:bCs/>
          <w:color w:val="auto"/>
          <w:kern w:val="0"/>
          <w:szCs w:val="32"/>
          <w:lang w:eastAsia="zh-CN"/>
        </w:rPr>
        <w:t>亿</w:t>
      </w:r>
      <w:r>
        <w:rPr>
          <w:rFonts w:hint="eastAsia"/>
          <w:bCs/>
          <w:color w:val="auto"/>
          <w:kern w:val="0"/>
          <w:szCs w:val="32"/>
        </w:rPr>
        <w:t>丛，电话：020-831</w:t>
      </w:r>
      <w:r>
        <w:rPr>
          <w:rFonts w:hint="eastAsia"/>
          <w:bCs/>
          <w:color w:val="auto"/>
          <w:kern w:val="0"/>
          <w:szCs w:val="32"/>
          <w:lang w:val="en-US" w:eastAsia="zh-CN"/>
        </w:rPr>
        <w:t>80191</w:t>
      </w:r>
      <w:r>
        <w:rPr>
          <w:rFonts w:hint="eastAsia"/>
          <w:bCs/>
          <w:color w:val="auto"/>
          <w:kern w:val="0"/>
          <w:szCs w:val="32"/>
        </w:rPr>
        <w:t>。</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bCs/>
          <w:color w:val="auto"/>
          <w:kern w:val="0"/>
          <w:szCs w:val="32"/>
        </w:rPr>
      </w:pPr>
      <w:r>
        <w:rPr>
          <w:rFonts w:hint="eastAsia"/>
          <w:bCs/>
          <w:color w:val="auto"/>
          <w:kern w:val="0"/>
          <w:szCs w:val="32"/>
        </w:rPr>
        <w:t>通知的电子版可在广东省技工教育师资培训学院网站（http://www.gf79.com/szpx/index.html ）下载。</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rFonts w:hint="eastAsia"/>
          <w:color w:val="auto"/>
        </w:rPr>
      </w:pP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附件：1．教师课程思政教学能力提升培训班课程表</w:t>
      </w:r>
    </w:p>
    <w:p>
      <w:pPr>
        <w:keepNext w:val="0"/>
        <w:keepLines w:val="0"/>
        <w:pageBreakBefore w:val="0"/>
        <w:widowControl/>
        <w:kinsoku/>
        <w:wordWrap/>
        <w:overflowPunct/>
        <w:topLinePunct w:val="0"/>
        <w:autoSpaceDE/>
        <w:autoSpaceDN/>
        <w:bidi w:val="0"/>
        <w:adjustRightInd/>
        <w:snapToGrid/>
        <w:spacing w:line="520" w:lineRule="exact"/>
        <w:ind w:firstLine="1580" w:firstLineChars="500"/>
        <w:textAlignment w:val="auto"/>
        <w:outlineLvl w:val="9"/>
        <w:rPr>
          <w:color w:val="auto"/>
        </w:rPr>
      </w:pPr>
      <w:r>
        <w:rPr>
          <w:rFonts w:hint="eastAsia"/>
          <w:color w:val="auto"/>
        </w:rPr>
        <w:t>2．教师课程思政教学能力提升培训报名表</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p>
    <w:p>
      <w:pPr>
        <w:keepNext w:val="0"/>
        <w:keepLines w:val="0"/>
        <w:pageBreakBefore w:val="0"/>
        <w:widowControl/>
        <w:kinsoku/>
        <w:wordWrap/>
        <w:overflowPunct/>
        <w:topLinePunct w:val="0"/>
        <w:autoSpaceDE/>
        <w:autoSpaceDN/>
        <w:bidi w:val="0"/>
        <w:adjustRightInd/>
        <w:snapToGrid/>
        <w:spacing w:line="520" w:lineRule="exact"/>
        <w:ind w:firstLine="632" w:firstLineChars="200"/>
        <w:jc w:val="right"/>
        <w:textAlignment w:val="auto"/>
        <w:outlineLvl w:val="9"/>
        <w:rPr>
          <w:color w:val="auto"/>
        </w:rPr>
      </w:pPr>
      <w:r>
        <w:rPr>
          <w:rFonts w:hint="eastAsia"/>
          <w:color w:val="auto"/>
        </w:rPr>
        <w:t>广东省人力资源和社会保障厅技工教育管理处</w:t>
      </w:r>
    </w:p>
    <w:p>
      <w:pPr>
        <w:keepNext w:val="0"/>
        <w:keepLines w:val="0"/>
        <w:pageBreakBefore w:val="0"/>
        <w:widowControl/>
        <w:kinsoku/>
        <w:wordWrap/>
        <w:overflowPunct/>
        <w:topLinePunct w:val="0"/>
        <w:autoSpaceDE/>
        <w:autoSpaceDN/>
        <w:bidi w:val="0"/>
        <w:adjustRightInd/>
        <w:snapToGrid/>
        <w:spacing w:line="520" w:lineRule="exact"/>
        <w:ind w:firstLine="632" w:firstLineChars="200"/>
        <w:textAlignment w:val="auto"/>
        <w:outlineLvl w:val="9"/>
        <w:rPr>
          <w:color w:val="auto"/>
        </w:rPr>
      </w:pPr>
      <w:r>
        <w:rPr>
          <w:rFonts w:hint="eastAsia"/>
          <w:color w:val="auto"/>
        </w:rPr>
        <w:t xml:space="preserve">                        </w:t>
      </w:r>
      <w:r>
        <w:rPr>
          <w:color w:val="auto"/>
        </w:rPr>
        <w:t xml:space="preserve">  </w:t>
      </w:r>
      <w:r>
        <w:rPr>
          <w:rFonts w:hint="eastAsia"/>
          <w:color w:val="auto"/>
        </w:rPr>
        <w:t xml:space="preserve"> 2021年</w:t>
      </w:r>
      <w:r>
        <w:rPr>
          <w:rFonts w:hint="eastAsia"/>
          <w:color w:val="auto"/>
          <w:lang w:val="en-US" w:eastAsia="zh-CN"/>
        </w:rPr>
        <w:t>4</w:t>
      </w:r>
      <w:r>
        <w:rPr>
          <w:rFonts w:hint="eastAsia"/>
          <w:color w:val="auto"/>
        </w:rPr>
        <w:t>月</w:t>
      </w:r>
      <w:r>
        <w:rPr>
          <w:rFonts w:hint="eastAsia"/>
          <w:color w:val="auto"/>
          <w:lang w:val="en-US" w:eastAsia="zh-CN"/>
        </w:rPr>
        <w:t>2</w:t>
      </w:r>
      <w:r>
        <w:rPr>
          <w:rFonts w:hint="eastAsia"/>
          <w:color w:val="auto"/>
        </w:rPr>
        <w:t>日</w:t>
      </w:r>
    </w:p>
    <w:p>
      <w:pPr>
        <w:keepNext w:val="0"/>
        <w:keepLines w:val="0"/>
        <w:pageBreakBefore w:val="0"/>
        <w:widowControl/>
        <w:kinsoku/>
        <w:wordWrap/>
        <w:overflowPunct/>
        <w:topLinePunct w:val="0"/>
        <w:autoSpaceDE/>
        <w:autoSpaceDN/>
        <w:bidi w:val="0"/>
        <w:adjustRightInd/>
        <w:snapToGrid/>
        <w:spacing w:line="520" w:lineRule="exact"/>
        <w:textAlignment w:val="auto"/>
        <w:outlineLvl w:val="9"/>
        <w:rPr>
          <w:rStyle w:val="9"/>
          <w:rFonts w:ascii="仿宋_GB2312" w:hAnsi="仿宋_GB2312" w:cs="仿宋_GB2312"/>
          <w:szCs w:val="32"/>
        </w:rPr>
      </w:pPr>
      <w:r>
        <w:rPr>
          <w:rStyle w:val="9"/>
          <w:rFonts w:hint="eastAsia" w:ascii="仿宋_GB2312" w:hAnsi="仿宋_GB2312" w:cs="仿宋_GB2312"/>
          <w:szCs w:val="32"/>
        </w:rPr>
        <w:br w:type="page"/>
      </w:r>
    </w:p>
    <w:p>
      <w:pPr>
        <w:rPr>
          <w:rStyle w:val="9"/>
          <w:rFonts w:eastAsia="宋体"/>
          <w:szCs w:val="32"/>
        </w:rPr>
      </w:pPr>
      <w:r>
        <w:rPr>
          <w:rStyle w:val="9"/>
          <w:rFonts w:hint="eastAsia" w:eastAsia="宋体"/>
          <w:szCs w:val="32"/>
        </w:rPr>
        <w:t>附件1</w:t>
      </w:r>
    </w:p>
    <w:p>
      <w:pPr>
        <w:jc w:val="center"/>
        <w:rPr>
          <w:rFonts w:eastAsia="创艺简标宋"/>
          <w:sz w:val="40"/>
          <w:szCs w:val="40"/>
        </w:rPr>
      </w:pPr>
      <w:r>
        <w:rPr>
          <w:rFonts w:hint="eastAsia" w:eastAsia="创艺简标宋"/>
          <w:sz w:val="40"/>
          <w:szCs w:val="40"/>
        </w:rPr>
        <w:t>教师课程思政教学能力提升培训班课程表</w:t>
      </w:r>
    </w:p>
    <w:tbl>
      <w:tblPr>
        <w:tblStyle w:val="7"/>
        <w:tblpPr w:leftFromText="180" w:rightFromText="180" w:vertAnchor="text" w:horzAnchor="page" w:tblpX="690" w:tblpY="430"/>
        <w:tblOverlap w:val="never"/>
        <w:tblW w:w="101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5"/>
        <w:gridCol w:w="1402"/>
        <w:gridCol w:w="3941"/>
        <w:gridCol w:w="1064"/>
        <w:gridCol w:w="1993"/>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1" w:hRule="atLeast"/>
        </w:trPr>
        <w:tc>
          <w:tcPr>
            <w:tcW w:w="625"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序号</w:t>
            </w:r>
          </w:p>
        </w:tc>
        <w:tc>
          <w:tcPr>
            <w:tcW w:w="1402"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培训时间</w:t>
            </w:r>
          </w:p>
        </w:tc>
        <w:tc>
          <w:tcPr>
            <w:tcW w:w="3941"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培训模块及内容</w:t>
            </w:r>
          </w:p>
        </w:tc>
        <w:tc>
          <w:tcPr>
            <w:tcW w:w="1064"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培训形式</w:t>
            </w:r>
          </w:p>
        </w:tc>
        <w:tc>
          <w:tcPr>
            <w:tcW w:w="1993"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授课专家</w:t>
            </w:r>
          </w:p>
        </w:tc>
        <w:tc>
          <w:tcPr>
            <w:tcW w:w="1131" w:type="dxa"/>
            <w:tcBorders>
              <w:tl2br w:val="nil"/>
              <w:tr2bl w:val="nil"/>
            </w:tcBorders>
            <w:vAlign w:val="center"/>
          </w:tcPr>
          <w:p>
            <w:pPr>
              <w:widowControl w:val="0"/>
              <w:spacing w:line="480" w:lineRule="exact"/>
              <w:jc w:val="center"/>
              <w:rPr>
                <w:rFonts w:ascii="黑体" w:hAnsi="黑体" w:eastAsia="黑体" w:cs="黑体"/>
                <w:bCs/>
                <w:color w:val="auto"/>
                <w:sz w:val="24"/>
                <w:szCs w:val="24"/>
              </w:rPr>
            </w:pPr>
            <w:r>
              <w:rPr>
                <w:rFonts w:hint="eastAsia" w:ascii="黑体" w:hAnsi="黑体" w:eastAsia="黑体" w:cs="黑体"/>
                <w:bCs/>
                <w:color w:val="auto"/>
                <w:sz w:val="24"/>
                <w:szCs w:val="24"/>
              </w:rPr>
              <w:t>地  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836" w:hRule="atLeast"/>
        </w:trPr>
        <w:tc>
          <w:tcPr>
            <w:tcW w:w="625"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1</w:t>
            </w:r>
          </w:p>
        </w:tc>
        <w:tc>
          <w:tcPr>
            <w:tcW w:w="1402"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4月19日</w:t>
            </w:r>
          </w:p>
          <w:p>
            <w:pPr>
              <w:widowControl w:val="0"/>
              <w:spacing w:line="320" w:lineRule="exact"/>
              <w:jc w:val="center"/>
              <w:rPr>
                <w:color w:val="auto"/>
                <w:sz w:val="24"/>
                <w:szCs w:val="24"/>
              </w:rPr>
            </w:pPr>
            <w:r>
              <w:rPr>
                <w:rFonts w:hint="eastAsia"/>
                <w:color w:val="auto"/>
                <w:sz w:val="24"/>
                <w:szCs w:val="24"/>
              </w:rPr>
              <w:t>9:00-9:15</w:t>
            </w:r>
          </w:p>
        </w:tc>
        <w:tc>
          <w:tcPr>
            <w:tcW w:w="3941"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开班仪式</w:t>
            </w:r>
          </w:p>
        </w:tc>
        <w:tc>
          <w:tcPr>
            <w:tcW w:w="1064"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p>
        </w:tc>
        <w:tc>
          <w:tcPr>
            <w:tcW w:w="1993"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p>
        </w:tc>
        <w:tc>
          <w:tcPr>
            <w:tcW w:w="1131"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行政楼四楼多功能报告厅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1138" w:hRule="atLeast"/>
        </w:trPr>
        <w:tc>
          <w:tcPr>
            <w:tcW w:w="625" w:type="dxa"/>
            <w:vMerge w:val="continue"/>
            <w:tcBorders>
              <w:tl2br w:val="nil"/>
              <w:tr2bl w:val="nil"/>
            </w:tcBorders>
            <w:vAlign w:val="center"/>
          </w:tcPr>
          <w:p>
            <w:pPr>
              <w:widowControl w:val="0"/>
              <w:spacing w:line="320" w:lineRule="exact"/>
              <w:jc w:val="center"/>
              <w:rPr>
                <w:color w:val="auto"/>
                <w:sz w:val="24"/>
                <w:szCs w:val="24"/>
              </w:rPr>
            </w:pPr>
          </w:p>
        </w:tc>
        <w:tc>
          <w:tcPr>
            <w:tcW w:w="1402"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4月19日</w:t>
            </w:r>
          </w:p>
          <w:p>
            <w:pPr>
              <w:widowControl w:val="0"/>
              <w:spacing w:line="320" w:lineRule="exact"/>
              <w:jc w:val="center"/>
              <w:rPr>
                <w:color w:val="auto"/>
                <w:sz w:val="24"/>
                <w:szCs w:val="24"/>
              </w:rPr>
            </w:pPr>
            <w:r>
              <w:rPr>
                <w:rFonts w:hint="eastAsia"/>
                <w:color w:val="auto"/>
                <w:sz w:val="24"/>
                <w:szCs w:val="24"/>
              </w:rPr>
              <w:t>9:15-12:00</w:t>
            </w:r>
          </w:p>
        </w:tc>
        <w:tc>
          <w:tcPr>
            <w:tcW w:w="3941"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课程思政元素提取和教学设计实施</w:t>
            </w:r>
          </w:p>
        </w:tc>
        <w:tc>
          <w:tcPr>
            <w:tcW w:w="1064"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专题讲座</w:t>
            </w:r>
          </w:p>
        </w:tc>
        <w:tc>
          <w:tcPr>
            <w:tcW w:w="1993"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雷三元</w:t>
            </w:r>
          </w:p>
        </w:tc>
        <w:tc>
          <w:tcPr>
            <w:tcW w:w="1131"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行政楼四楼多功能报告厅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970" w:hRule="atLeast"/>
        </w:trPr>
        <w:tc>
          <w:tcPr>
            <w:tcW w:w="625" w:type="dxa"/>
            <w:vMerge w:val="continue"/>
            <w:tcBorders>
              <w:tl2br w:val="nil"/>
              <w:tr2bl w:val="nil"/>
            </w:tcBorders>
            <w:vAlign w:val="center"/>
          </w:tcPr>
          <w:p>
            <w:pPr>
              <w:widowControl w:val="0"/>
              <w:spacing w:line="320" w:lineRule="exact"/>
              <w:jc w:val="center"/>
              <w:rPr>
                <w:color w:val="auto"/>
                <w:sz w:val="24"/>
                <w:szCs w:val="24"/>
              </w:rPr>
            </w:pPr>
          </w:p>
        </w:tc>
        <w:tc>
          <w:tcPr>
            <w:tcW w:w="1402"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4月19日</w:t>
            </w:r>
          </w:p>
          <w:p>
            <w:pPr>
              <w:widowControl w:val="0"/>
              <w:spacing w:line="320" w:lineRule="exact"/>
              <w:jc w:val="center"/>
              <w:rPr>
                <w:color w:val="auto"/>
                <w:sz w:val="24"/>
                <w:szCs w:val="24"/>
              </w:rPr>
            </w:pPr>
            <w:r>
              <w:rPr>
                <w:rFonts w:hint="eastAsia"/>
                <w:color w:val="auto"/>
                <w:sz w:val="24"/>
                <w:szCs w:val="24"/>
              </w:rPr>
              <w:t>14:30-17:30</w:t>
            </w:r>
          </w:p>
        </w:tc>
        <w:tc>
          <w:tcPr>
            <w:tcW w:w="3941"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课程思政元素提取和教学设计实施</w:t>
            </w:r>
          </w:p>
        </w:tc>
        <w:tc>
          <w:tcPr>
            <w:tcW w:w="1064"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实践操作</w:t>
            </w:r>
          </w:p>
        </w:tc>
        <w:tc>
          <w:tcPr>
            <w:tcW w:w="1993"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雷三元</w:t>
            </w:r>
          </w:p>
        </w:tc>
        <w:tc>
          <w:tcPr>
            <w:tcW w:w="1131"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行政楼四楼多功能报告厅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1268" w:hRule="atLeast"/>
        </w:trPr>
        <w:tc>
          <w:tcPr>
            <w:tcW w:w="625" w:type="dxa"/>
            <w:vMerge w:val="restart"/>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2</w:t>
            </w:r>
          </w:p>
        </w:tc>
        <w:tc>
          <w:tcPr>
            <w:tcW w:w="1402"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4月20日</w:t>
            </w:r>
          </w:p>
          <w:p>
            <w:pPr>
              <w:widowControl w:val="0"/>
              <w:spacing w:line="320" w:lineRule="exact"/>
              <w:jc w:val="center"/>
              <w:rPr>
                <w:color w:val="auto"/>
                <w:sz w:val="24"/>
                <w:szCs w:val="24"/>
              </w:rPr>
            </w:pPr>
            <w:r>
              <w:rPr>
                <w:rFonts w:hint="eastAsia"/>
                <w:color w:val="auto"/>
                <w:sz w:val="24"/>
                <w:szCs w:val="24"/>
              </w:rPr>
              <w:t>9:00-12:00</w:t>
            </w:r>
          </w:p>
        </w:tc>
        <w:tc>
          <w:tcPr>
            <w:tcW w:w="3941"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课程思政内涵和要求</w:t>
            </w:r>
          </w:p>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国内外课程思政形势；</w:t>
            </w:r>
          </w:p>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课程思政涵盖的内容；</w:t>
            </w:r>
          </w:p>
        </w:tc>
        <w:tc>
          <w:tcPr>
            <w:tcW w:w="1064"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专题讲座</w:t>
            </w:r>
          </w:p>
        </w:tc>
        <w:tc>
          <w:tcPr>
            <w:tcW w:w="1993" w:type="dxa"/>
            <w:tcBorders>
              <w:bottom w:val="single" w:color="auto" w:sz="4" w:space="0"/>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谭  纯</w:t>
            </w:r>
          </w:p>
        </w:tc>
        <w:tc>
          <w:tcPr>
            <w:tcW w:w="1131" w:type="dxa"/>
            <w:tcBorders>
              <w:bottom w:val="single" w:color="auto" w:sz="4" w:space="0"/>
              <w:tl2br w:val="nil"/>
              <w:tr2bl w:val="nil"/>
            </w:tcBorders>
            <w:vAlign w:val="center"/>
          </w:tcPr>
          <w:p>
            <w:pPr>
              <w:widowControl w:val="0"/>
              <w:spacing w:line="320" w:lineRule="exact"/>
              <w:jc w:val="center"/>
              <w:rPr>
                <w:color w:val="auto"/>
                <w:sz w:val="24"/>
                <w:szCs w:val="24"/>
              </w:rPr>
            </w:pPr>
            <w:r>
              <w:rPr>
                <w:rFonts w:hint="eastAsia"/>
                <w:color w:val="auto"/>
                <w:sz w:val="24"/>
                <w:szCs w:val="24"/>
              </w:rPr>
              <w:t>行政楼四楼多功能报告厅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1398" w:hRule="atLeast"/>
        </w:trPr>
        <w:tc>
          <w:tcPr>
            <w:tcW w:w="625" w:type="dxa"/>
            <w:vMerge w:val="continue"/>
            <w:tcBorders>
              <w:tl2br w:val="nil"/>
              <w:tr2bl w:val="nil"/>
            </w:tcBorders>
            <w:vAlign w:val="center"/>
          </w:tcPr>
          <w:p>
            <w:pPr>
              <w:widowControl w:val="0"/>
              <w:spacing w:line="320" w:lineRule="exact"/>
              <w:jc w:val="center"/>
              <w:rPr>
                <w:color w:val="auto"/>
                <w:sz w:val="24"/>
                <w:szCs w:val="24"/>
              </w:rPr>
            </w:pPr>
          </w:p>
        </w:tc>
        <w:tc>
          <w:tcPr>
            <w:tcW w:w="1402" w:type="dxa"/>
            <w:tcBorders>
              <w:tl2br w:val="nil"/>
              <w:tr2bl w:val="nil"/>
            </w:tcBorders>
            <w:vAlign w:val="center"/>
          </w:tcPr>
          <w:p>
            <w:pPr>
              <w:widowControl w:val="0"/>
              <w:spacing w:line="320" w:lineRule="exact"/>
              <w:jc w:val="center"/>
              <w:rPr>
                <w:color w:val="auto"/>
                <w:sz w:val="24"/>
                <w:szCs w:val="24"/>
              </w:rPr>
            </w:pPr>
            <w:r>
              <w:rPr>
                <w:rFonts w:hint="eastAsia"/>
                <w:color w:val="auto"/>
                <w:sz w:val="24"/>
                <w:szCs w:val="24"/>
              </w:rPr>
              <w:t>4月20日</w:t>
            </w:r>
          </w:p>
          <w:p>
            <w:pPr>
              <w:widowControl w:val="0"/>
              <w:spacing w:line="320" w:lineRule="exact"/>
              <w:jc w:val="center"/>
              <w:rPr>
                <w:color w:val="auto"/>
                <w:sz w:val="24"/>
                <w:szCs w:val="24"/>
              </w:rPr>
            </w:pPr>
            <w:r>
              <w:rPr>
                <w:rFonts w:hint="eastAsia"/>
                <w:color w:val="auto"/>
                <w:sz w:val="24"/>
                <w:szCs w:val="24"/>
              </w:rPr>
              <w:t>14:30-17:30</w:t>
            </w:r>
          </w:p>
        </w:tc>
        <w:tc>
          <w:tcPr>
            <w:tcW w:w="3941"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课程思政内涵和要求</w:t>
            </w:r>
          </w:p>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课程思政实施原则；</w:t>
            </w:r>
          </w:p>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课程思政实施途径。</w:t>
            </w:r>
          </w:p>
        </w:tc>
        <w:tc>
          <w:tcPr>
            <w:tcW w:w="1064" w:type="dxa"/>
            <w:tcBorders>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专题讲座</w:t>
            </w:r>
          </w:p>
        </w:tc>
        <w:tc>
          <w:tcPr>
            <w:tcW w:w="1993" w:type="dxa"/>
            <w:tcBorders>
              <w:top w:val="single" w:color="auto" w:sz="4" w:space="0"/>
              <w:tl2br w:val="nil"/>
              <w:tr2bl w:val="nil"/>
            </w:tcBorders>
            <w:vAlign w:val="center"/>
          </w:tcPr>
          <w:p>
            <w:pPr>
              <w:widowControl w:val="0"/>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谭  纯</w:t>
            </w:r>
          </w:p>
        </w:tc>
        <w:tc>
          <w:tcPr>
            <w:tcW w:w="1131" w:type="dxa"/>
            <w:tcBorders>
              <w:top w:val="single" w:color="auto" w:sz="4" w:space="0"/>
              <w:tl2br w:val="nil"/>
              <w:tr2bl w:val="nil"/>
            </w:tcBorders>
            <w:vAlign w:val="center"/>
          </w:tcPr>
          <w:p>
            <w:pPr>
              <w:widowControl w:val="0"/>
              <w:spacing w:line="320" w:lineRule="exact"/>
              <w:jc w:val="center"/>
              <w:rPr>
                <w:color w:val="auto"/>
                <w:sz w:val="24"/>
                <w:szCs w:val="24"/>
              </w:rPr>
            </w:pPr>
            <w:r>
              <w:rPr>
                <w:rFonts w:hint="eastAsia"/>
                <w:color w:val="auto"/>
                <w:sz w:val="24"/>
                <w:szCs w:val="24"/>
              </w:rPr>
              <w:t>行政楼四楼多功能报告厅</w:t>
            </w:r>
          </w:p>
          <w:p>
            <w:pPr>
              <w:widowControl w:val="0"/>
              <w:spacing w:line="320" w:lineRule="exact"/>
              <w:jc w:val="center"/>
              <w:rPr>
                <w:color w:val="auto"/>
                <w:sz w:val="24"/>
                <w:szCs w:val="24"/>
              </w:rPr>
            </w:pPr>
          </w:p>
        </w:tc>
      </w:tr>
    </w:tbl>
    <w:p>
      <w:pPr>
        <w:rPr>
          <w:rStyle w:val="9"/>
          <w:rFonts w:ascii="仿宋_GB2312" w:hAnsi="仿宋_GB2312" w:cs="仿宋_GB2312"/>
          <w:b/>
          <w:color w:val="FF0000"/>
          <w:sz w:val="36"/>
          <w:szCs w:val="36"/>
        </w:rPr>
      </w:pPr>
    </w:p>
    <w:p>
      <w:pPr>
        <w:rPr>
          <w:rStyle w:val="9"/>
          <w:rFonts w:ascii="仿宋_GB2312" w:hAnsi="仿宋_GB2312" w:cs="仿宋_GB2312"/>
          <w:szCs w:val="32"/>
        </w:rPr>
      </w:pPr>
    </w:p>
    <w:p>
      <w:pPr>
        <w:jc w:val="left"/>
        <w:rPr>
          <w:rStyle w:val="9"/>
          <w:rFonts w:ascii="仿宋_GB2312" w:hAnsi="仿宋_GB2312" w:cs="仿宋_GB2312"/>
          <w:szCs w:val="32"/>
        </w:rPr>
      </w:pPr>
      <w:r>
        <w:rPr>
          <w:rStyle w:val="9"/>
          <w:rFonts w:hint="eastAsia" w:ascii="仿宋_GB2312" w:hAnsi="仿宋_GB2312" w:cs="仿宋_GB2312"/>
          <w:szCs w:val="32"/>
        </w:rPr>
        <w:br w:type="page"/>
      </w:r>
    </w:p>
    <w:p>
      <w:pPr>
        <w:rPr>
          <w:rStyle w:val="9"/>
          <w:rFonts w:eastAsia="宋体"/>
          <w:szCs w:val="32"/>
        </w:rPr>
      </w:pPr>
      <w:r>
        <w:rPr>
          <w:rStyle w:val="9"/>
          <w:rFonts w:hint="eastAsia" w:eastAsia="宋体"/>
          <w:szCs w:val="32"/>
        </w:rPr>
        <w:t>附件2</w:t>
      </w:r>
    </w:p>
    <w:p>
      <w:pPr>
        <w:jc w:val="center"/>
        <w:rPr>
          <w:rFonts w:eastAsia="创艺简标宋"/>
          <w:sz w:val="44"/>
          <w:szCs w:val="44"/>
        </w:rPr>
      </w:pPr>
      <w:r>
        <w:rPr>
          <w:rFonts w:hint="eastAsia" w:eastAsia="创艺简标宋"/>
          <w:sz w:val="44"/>
          <w:szCs w:val="44"/>
        </w:rPr>
        <w:t>教师课程思政教学能力提升培训班报名表</w:t>
      </w:r>
    </w:p>
    <w:p>
      <w:pPr>
        <w:snapToGrid w:val="0"/>
        <w:rPr>
          <w:rFonts w:ascii="仿宋_GB2312" w:hAnsi="仿宋_GB2312" w:cs="仿宋_GB2312"/>
          <w:b/>
          <w:bCs/>
          <w:color w:val="auto"/>
          <w:szCs w:val="36"/>
        </w:rPr>
      </w:pPr>
    </w:p>
    <w:p>
      <w:pPr>
        <w:rPr>
          <w:color w:val="auto"/>
          <w:sz w:val="28"/>
          <w:szCs w:val="28"/>
          <w:u w:val="single"/>
        </w:rPr>
      </w:pPr>
      <w:r>
        <w:rPr>
          <w:rFonts w:hint="eastAsia"/>
          <w:color w:val="auto"/>
          <w:sz w:val="28"/>
          <w:szCs w:val="28"/>
        </w:rPr>
        <w:t>单位名称（盖章）：</w:t>
      </w:r>
      <w:r>
        <w:rPr>
          <w:rFonts w:hint="eastAsia"/>
          <w:color w:val="auto"/>
          <w:sz w:val="28"/>
          <w:szCs w:val="28"/>
          <w:u w:val="single"/>
        </w:rPr>
        <w:t xml:space="preserve">                                 </w:t>
      </w:r>
      <w:r>
        <w:rPr>
          <w:rFonts w:hint="eastAsia"/>
          <w:color w:val="FFFFFF" w:themeColor="background1"/>
          <w:sz w:val="28"/>
          <w:szCs w:val="28"/>
          <w:u w:val="single"/>
          <w14:textFill>
            <w14:solidFill>
              <w14:schemeClr w14:val="bg1"/>
            </w14:solidFill>
          </w14:textFill>
        </w:rPr>
        <w:t>a</w:t>
      </w:r>
    </w:p>
    <w:p>
      <w:pPr>
        <w:rPr>
          <w:color w:val="auto"/>
          <w:sz w:val="28"/>
          <w:szCs w:val="28"/>
        </w:rPr>
      </w:pPr>
      <w:r>
        <w:rPr>
          <w:rFonts w:hint="eastAsia"/>
          <w:color w:val="auto"/>
          <w:sz w:val="28"/>
          <w:szCs w:val="28"/>
        </w:rPr>
        <w:t>单位地址（必填）：</w:t>
      </w:r>
      <w:r>
        <w:rPr>
          <w:rFonts w:hint="eastAsia"/>
          <w:color w:val="auto"/>
          <w:sz w:val="28"/>
          <w:szCs w:val="28"/>
          <w:u w:val="single"/>
        </w:rPr>
        <w:t xml:space="preserve">                                 </w:t>
      </w:r>
      <w:r>
        <w:rPr>
          <w:rFonts w:hint="eastAsia"/>
          <w:color w:val="FFFFFF" w:themeColor="background1"/>
          <w:sz w:val="28"/>
          <w:szCs w:val="28"/>
          <w:u w:val="single"/>
          <w14:textFill>
            <w14:solidFill>
              <w14:schemeClr w14:val="bg1"/>
            </w14:solidFill>
          </w14:textFill>
        </w:rPr>
        <w:t>a</w:t>
      </w:r>
    </w:p>
    <w:p>
      <w:pPr>
        <w:widowControl w:val="0"/>
        <w:rPr>
          <w:sz w:val="28"/>
          <w:szCs w:val="28"/>
          <w:u w:val="single"/>
        </w:rPr>
      </w:pPr>
      <w:r>
        <w:rPr>
          <w:rFonts w:hint="eastAsia"/>
          <w:color w:val="auto"/>
          <w:sz w:val="28"/>
          <w:szCs w:val="28"/>
        </w:rPr>
        <w:t>单位</w:t>
      </w:r>
      <w:r>
        <w:rPr>
          <w:color w:val="auto"/>
          <w:sz w:val="28"/>
          <w:szCs w:val="28"/>
        </w:rPr>
        <w:t>联系人：</w:t>
      </w:r>
      <w:r>
        <w:rPr>
          <w:color w:val="auto"/>
          <w:sz w:val="28"/>
          <w:szCs w:val="28"/>
          <w:u w:val="single"/>
        </w:rPr>
        <w:t xml:space="preserve">        </w:t>
      </w:r>
      <w:r>
        <w:rPr>
          <w:sz w:val="28"/>
          <w:szCs w:val="28"/>
        </w:rPr>
        <w:t>联系电话：</w:t>
      </w:r>
      <w:r>
        <w:rPr>
          <w:color w:val="auto"/>
          <w:sz w:val="28"/>
          <w:szCs w:val="28"/>
          <w:u w:val="single"/>
        </w:rPr>
        <w:t xml:space="preserve">          </w:t>
      </w:r>
      <w:r>
        <w:rPr>
          <w:rFonts w:hint="eastAsia"/>
          <w:color w:val="auto"/>
          <w:sz w:val="28"/>
          <w:szCs w:val="28"/>
        </w:rPr>
        <w:t>联系人邮箱</w:t>
      </w:r>
      <w:r>
        <w:rPr>
          <w:color w:val="auto"/>
          <w:sz w:val="28"/>
          <w:szCs w:val="28"/>
          <w:u w:val="single"/>
        </w:rPr>
        <w:t xml:space="preserve">  </w:t>
      </w:r>
      <w:r>
        <w:rPr>
          <w:rFonts w:hint="eastAsia"/>
          <w:color w:val="auto"/>
          <w:sz w:val="28"/>
          <w:szCs w:val="28"/>
          <w:u w:val="single"/>
        </w:rPr>
        <w:t xml:space="preserve"> </w:t>
      </w:r>
      <w:r>
        <w:rPr>
          <w:color w:val="auto"/>
          <w:sz w:val="28"/>
          <w:szCs w:val="28"/>
          <w:u w:val="single"/>
        </w:rPr>
        <w:t xml:space="preserve">   </w:t>
      </w:r>
      <w:r>
        <w:rPr>
          <w:sz w:val="28"/>
          <w:szCs w:val="28"/>
          <w:u w:val="single"/>
        </w:rPr>
        <w:t xml:space="preserve">    </w:t>
      </w:r>
      <w:r>
        <w:rPr>
          <w:rFonts w:hint="eastAsia"/>
          <w:color w:val="FFFFFF"/>
          <w:sz w:val="28"/>
          <w:szCs w:val="28"/>
          <w:u w:val="single"/>
        </w:rPr>
        <w:t>a</w:t>
      </w:r>
    </w:p>
    <w:tbl>
      <w:tblPr>
        <w:tblStyle w:val="7"/>
        <w:tblW w:w="89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1525"/>
        <w:gridCol w:w="900"/>
        <w:gridCol w:w="1539"/>
        <w:gridCol w:w="1452"/>
        <w:gridCol w:w="1759"/>
        <w:gridCol w:w="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3" w:hRule="exact"/>
        </w:trPr>
        <w:tc>
          <w:tcPr>
            <w:tcW w:w="863"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序号</w:t>
            </w:r>
          </w:p>
        </w:tc>
        <w:tc>
          <w:tcPr>
            <w:tcW w:w="1525"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姓名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性别</w:t>
            </w:r>
          </w:p>
        </w:tc>
        <w:tc>
          <w:tcPr>
            <w:tcW w:w="1539"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专业</w:t>
            </w:r>
          </w:p>
        </w:tc>
        <w:tc>
          <w:tcPr>
            <w:tcW w:w="1452"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职务</w:t>
            </w:r>
          </w:p>
        </w:tc>
        <w:tc>
          <w:tcPr>
            <w:tcW w:w="1759"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手机号码</w:t>
            </w: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是否</w:t>
            </w:r>
          </w:p>
          <w:p>
            <w:pPr>
              <w:widowControl w:val="0"/>
              <w:snapToGrid w:val="0"/>
              <w:jc w:val="center"/>
              <w:rPr>
                <w:rFonts w:ascii="黑体" w:hAnsi="黑体" w:eastAsia="黑体" w:cs="黑体"/>
                <w:bCs/>
                <w:color w:val="auto"/>
                <w:sz w:val="28"/>
                <w:szCs w:val="28"/>
              </w:rPr>
            </w:pPr>
            <w:r>
              <w:rPr>
                <w:rFonts w:hint="eastAsia" w:ascii="黑体" w:hAnsi="黑体" w:eastAsia="黑体" w:cs="黑体"/>
                <w:bCs/>
                <w:color w:val="auto"/>
                <w:sz w:val="28"/>
                <w:szCs w:val="28"/>
              </w:rPr>
              <w:t>食宿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9"/>
                <w:rFonts w:ascii="仿宋_GB2312" w:hAnsi="仿宋_GB2312" w:cs="仿宋_GB2312"/>
                <w:sz w:val="21"/>
              </w:rPr>
            </w:pPr>
          </w:p>
        </w:tc>
        <w:tc>
          <w:tcPr>
            <w:tcW w:w="175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9"/>
                <w:rFonts w:ascii="仿宋_GB2312" w:hAnsi="仿宋_GB2312" w:cs="仿宋_GB2312"/>
                <w:sz w:val="21"/>
              </w:rPr>
            </w:pPr>
          </w:p>
        </w:tc>
        <w:tc>
          <w:tcPr>
            <w:tcW w:w="92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8"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4"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8"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8" w:hRule="atLeast"/>
        </w:trPr>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25"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1759"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c>
          <w:tcPr>
            <w:tcW w:w="923" w:type="dxa"/>
            <w:tcBorders>
              <w:top w:val="single" w:color="000000" w:sz="4" w:space="0"/>
              <w:left w:val="single" w:color="000000" w:sz="4" w:space="0"/>
              <w:bottom w:val="single" w:color="000000" w:sz="4" w:space="0"/>
              <w:right w:val="single" w:color="000000" w:sz="4" w:space="0"/>
            </w:tcBorders>
            <w:vAlign w:val="center"/>
          </w:tcPr>
          <w:p>
            <w:pPr>
              <w:jc w:val="center"/>
              <w:rPr>
                <w:rStyle w:val="9"/>
                <w:rFonts w:ascii="仿宋_GB2312" w:hAnsi="仿宋_GB2312" w:cs="仿宋_GB2312"/>
                <w:sz w:val="28"/>
                <w:szCs w:val="28"/>
              </w:rPr>
            </w:pPr>
          </w:p>
        </w:tc>
      </w:tr>
    </w:tbl>
    <w:p>
      <w:pPr>
        <w:rPr>
          <w:color w:val="auto"/>
          <w:sz w:val="28"/>
          <w:szCs w:val="28"/>
        </w:rPr>
      </w:pPr>
      <w:r>
        <w:drawing>
          <wp:anchor distT="0" distB="0" distL="114300" distR="114300" simplePos="0" relativeHeight="251658240" behindDoc="1" locked="0" layoutInCell="1" allowOverlap="0">
            <wp:simplePos x="0" y="0"/>
            <wp:positionH relativeFrom="column">
              <wp:posOffset>4018915</wp:posOffset>
            </wp:positionH>
            <wp:positionV relativeFrom="paragraph">
              <wp:posOffset>100965</wp:posOffset>
            </wp:positionV>
            <wp:extent cx="1440180" cy="1440180"/>
            <wp:effectExtent l="0" t="0" r="7620" b="7620"/>
            <wp:wrapTight wrapText="bothSides">
              <wp:wrapPolygon>
                <wp:start x="0" y="0"/>
                <wp:lineTo x="0" y="21429"/>
                <wp:lineTo x="21429" y="21429"/>
                <wp:lineTo x="2142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l="4465" t="76193" r="66223" b="6052"/>
                    <a:stretch>
                      <a:fillRect/>
                    </a:stretch>
                  </pic:blipFill>
                  <pic:spPr>
                    <a:xfrm>
                      <a:off x="0" y="0"/>
                      <a:ext cx="1440180" cy="1440180"/>
                    </a:xfrm>
                    <a:prstGeom prst="rect">
                      <a:avLst/>
                    </a:prstGeom>
                    <a:noFill/>
                  </pic:spPr>
                </pic:pic>
              </a:graphicData>
            </a:graphic>
          </wp:anchor>
        </w:drawing>
      </w:r>
      <w:r>
        <w:rPr>
          <w:rFonts w:hint="eastAsia"/>
          <w:color w:val="auto"/>
          <w:sz w:val="28"/>
          <w:szCs w:val="28"/>
        </w:rPr>
        <w:t>注：请各学校于</w:t>
      </w:r>
      <w:r>
        <w:rPr>
          <w:color w:val="auto"/>
          <w:sz w:val="28"/>
          <w:szCs w:val="28"/>
        </w:rPr>
        <w:t>4</w:t>
      </w:r>
      <w:r>
        <w:rPr>
          <w:rFonts w:hint="eastAsia"/>
          <w:color w:val="auto"/>
          <w:sz w:val="28"/>
          <w:szCs w:val="28"/>
        </w:rPr>
        <w:t>月</w:t>
      </w:r>
      <w:r>
        <w:rPr>
          <w:color w:val="auto"/>
          <w:sz w:val="28"/>
          <w:szCs w:val="28"/>
        </w:rPr>
        <w:t>15</w:t>
      </w:r>
      <w:r>
        <w:rPr>
          <w:rFonts w:hint="eastAsia"/>
          <w:color w:val="auto"/>
          <w:sz w:val="28"/>
          <w:szCs w:val="28"/>
        </w:rPr>
        <w:t>日前，扫描二维码或登录网址</w:t>
      </w:r>
      <w:r>
        <w:fldChar w:fldCharType="begin"/>
      </w:r>
      <w:r>
        <w:instrText xml:space="preserve"> HYPERLINK "https://www.wjx.top/vj/tI9JIAI.aspx" </w:instrText>
      </w:r>
      <w:r>
        <w:fldChar w:fldCharType="separate"/>
      </w:r>
      <w:r>
        <w:rPr>
          <w:rStyle w:val="6"/>
          <w:sz w:val="28"/>
          <w:szCs w:val="28"/>
        </w:rPr>
        <w:t>https://www.wjx.top/vj/tI9JIAI.aspx</w:t>
      </w:r>
      <w:r>
        <w:rPr>
          <w:rStyle w:val="6"/>
          <w:sz w:val="28"/>
          <w:szCs w:val="28"/>
        </w:rPr>
        <w:fldChar w:fldCharType="end"/>
      </w:r>
      <w:r>
        <w:rPr>
          <w:rFonts w:hint="eastAsia"/>
          <w:color w:val="auto"/>
          <w:sz w:val="28"/>
          <w:szCs w:val="28"/>
        </w:rPr>
        <w:t>报名，并上传已盖好单位公章的报名表。联系人：谢老师，联系电话：</w:t>
      </w:r>
      <w:r>
        <w:rPr>
          <w:color w:val="auto"/>
          <w:sz w:val="28"/>
          <w:szCs w:val="28"/>
        </w:rPr>
        <w:t>0769-22201627</w:t>
      </w:r>
      <w:r>
        <w:rPr>
          <w:rFonts w:hint="eastAsia"/>
          <w:color w:val="auto"/>
          <w:sz w:val="28"/>
          <w:szCs w:val="28"/>
        </w:rPr>
        <w:t>，</w:t>
      </w:r>
      <w:r>
        <w:rPr>
          <w:color w:val="auto"/>
          <w:sz w:val="28"/>
          <w:szCs w:val="28"/>
        </w:rPr>
        <w:t>18038310286</w:t>
      </w:r>
      <w:r>
        <w:rPr>
          <w:rFonts w:hint="eastAsia"/>
          <w:color w:val="auto"/>
          <w:sz w:val="28"/>
          <w:szCs w:val="28"/>
        </w:rPr>
        <w:t>。按报名先后确定培训人员名单，额满即止。报名经确认成功后（以邮件或短信回复为准），各院校原则上不得随意更换参训人员。</w:t>
      </w:r>
    </w:p>
    <w:p>
      <w:pPr>
        <w:rPr>
          <w:rFonts w:ascii="仿宋_GB2312" w:hAnsi="仿宋_GB2312" w:cs="仿宋_GB2312"/>
          <w:sz w:val="28"/>
          <w:szCs w:val="28"/>
        </w:rPr>
      </w:pPr>
    </w:p>
    <w:sectPr>
      <w:footerReference r:id="rId3" w:type="default"/>
      <w:footerReference r:id="rId4" w:type="even"/>
      <w:pgSz w:w="11906" w:h="16838"/>
      <w:pgMar w:top="1984" w:right="1531" w:bottom="1984" w:left="1531" w:header="851" w:footer="1531" w:gutter="0"/>
      <w:paperSrc/>
      <w:cols w:space="0" w:num="1"/>
      <w:titlePg/>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创艺简标宋">
    <w:panose1 w:val="00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right"/>
    </w:pPr>
    <w:r>
      <w:rPr>
        <w:rFonts w:hint="eastAsia" w:eastAsia="楷体_GB2312"/>
        <w:color w:val="auto"/>
        <w:sz w:val="24"/>
        <w:szCs w:val="24"/>
      </w:rPr>
      <w:t>—</w:t>
    </w:r>
    <w:r>
      <w:rPr>
        <w:color w:val="auto"/>
        <w:sz w:val="24"/>
        <w:szCs w:val="24"/>
      </w:rPr>
      <w:fldChar w:fldCharType="begin"/>
    </w:r>
    <w:r>
      <w:rPr>
        <w:rFonts w:eastAsia="楷体_GB2312"/>
        <w:color w:val="auto"/>
        <w:sz w:val="24"/>
        <w:szCs w:val="24"/>
      </w:rPr>
      <w:instrText xml:space="preserve">PAGE  </w:instrText>
    </w:r>
    <w:r>
      <w:rPr>
        <w:color w:val="auto"/>
        <w:sz w:val="24"/>
        <w:szCs w:val="24"/>
      </w:rPr>
      <w:fldChar w:fldCharType="separate"/>
    </w:r>
    <w:r>
      <w:rPr>
        <w:rFonts w:eastAsia="楷体_GB2312"/>
        <w:color w:val="auto"/>
        <w:sz w:val="24"/>
        <w:szCs w:val="24"/>
      </w:rPr>
      <w:t>3</w:t>
    </w:r>
    <w:r>
      <w:rPr>
        <w:color w:val="auto"/>
        <w:sz w:val="24"/>
        <w:szCs w:val="24"/>
      </w:rPr>
      <w:fldChar w:fldCharType="end"/>
    </w:r>
    <w:r>
      <w:rPr>
        <w:rFonts w:hint="eastAsia" w:eastAsia="楷体_GB2312"/>
        <w:color w:val="auto"/>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pPr>
    <w:r>
      <w:rPr>
        <w:rStyle w:val="12"/>
        <w:rFonts w:hint="eastAsia"/>
        <w:sz w:val="24"/>
      </w:rPr>
      <w:t>—</w:t>
    </w:r>
    <w:r>
      <w:rPr>
        <w:sz w:val="24"/>
        <w:szCs w:val="24"/>
      </w:rPr>
      <w:fldChar w:fldCharType="begin"/>
    </w:r>
    <w:r>
      <w:rPr>
        <w:rStyle w:val="12"/>
        <w:sz w:val="24"/>
      </w:rPr>
      <w:instrText xml:space="preserve">PAGE  </w:instrText>
    </w:r>
    <w:r>
      <w:rPr>
        <w:sz w:val="24"/>
        <w:szCs w:val="24"/>
      </w:rPr>
      <w:fldChar w:fldCharType="separate"/>
    </w:r>
    <w:r>
      <w:rPr>
        <w:rStyle w:val="12"/>
        <w:sz w:val="24"/>
      </w:rPr>
      <w:t>4</w:t>
    </w:r>
    <w:r>
      <w:rPr>
        <w:sz w:val="24"/>
        <w:szCs w:val="24"/>
      </w:rPr>
      <w:fldChar w:fldCharType="end"/>
    </w:r>
    <w:r>
      <w:rPr>
        <w:rStyle w:val="12"/>
        <w:rFonts w:hint="eastAsia"/>
        <w:sz w:val="24"/>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8"/>
  <w:drawingGridVerticalSpacing w:val="579"/>
  <w:noPunctuationKerning w:val="1"/>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173"/>
    <w:rsid w:val="000040E0"/>
    <w:rsid w:val="00004C30"/>
    <w:rsid w:val="000200EE"/>
    <w:rsid w:val="000520AB"/>
    <w:rsid w:val="0007316C"/>
    <w:rsid w:val="00074FFD"/>
    <w:rsid w:val="00107C45"/>
    <w:rsid w:val="00116B24"/>
    <w:rsid w:val="00133624"/>
    <w:rsid w:val="00137A9D"/>
    <w:rsid w:val="001546A9"/>
    <w:rsid w:val="001606B4"/>
    <w:rsid w:val="00170C54"/>
    <w:rsid w:val="00171E95"/>
    <w:rsid w:val="00172A27"/>
    <w:rsid w:val="00185026"/>
    <w:rsid w:val="001860D4"/>
    <w:rsid w:val="001A639A"/>
    <w:rsid w:val="00206A0E"/>
    <w:rsid w:val="00237EF2"/>
    <w:rsid w:val="0024021A"/>
    <w:rsid w:val="002618A2"/>
    <w:rsid w:val="002A12CD"/>
    <w:rsid w:val="002D0D0D"/>
    <w:rsid w:val="00381851"/>
    <w:rsid w:val="003A1706"/>
    <w:rsid w:val="003C18D9"/>
    <w:rsid w:val="003D2BD7"/>
    <w:rsid w:val="003E14E3"/>
    <w:rsid w:val="003E17D4"/>
    <w:rsid w:val="00446E09"/>
    <w:rsid w:val="004B1EA8"/>
    <w:rsid w:val="004D4758"/>
    <w:rsid w:val="004E7A78"/>
    <w:rsid w:val="00512036"/>
    <w:rsid w:val="00524ADC"/>
    <w:rsid w:val="005652CC"/>
    <w:rsid w:val="00580096"/>
    <w:rsid w:val="005802E9"/>
    <w:rsid w:val="005C452F"/>
    <w:rsid w:val="005D65EA"/>
    <w:rsid w:val="00617D18"/>
    <w:rsid w:val="00631374"/>
    <w:rsid w:val="00670FE7"/>
    <w:rsid w:val="00693323"/>
    <w:rsid w:val="006B0832"/>
    <w:rsid w:val="006E469F"/>
    <w:rsid w:val="006E46C9"/>
    <w:rsid w:val="00726016"/>
    <w:rsid w:val="00735E24"/>
    <w:rsid w:val="00741715"/>
    <w:rsid w:val="00760D3B"/>
    <w:rsid w:val="00782E7D"/>
    <w:rsid w:val="007A765A"/>
    <w:rsid w:val="007D2AB1"/>
    <w:rsid w:val="00851440"/>
    <w:rsid w:val="00863957"/>
    <w:rsid w:val="00894244"/>
    <w:rsid w:val="00897342"/>
    <w:rsid w:val="008B4D85"/>
    <w:rsid w:val="008F0DCF"/>
    <w:rsid w:val="00915607"/>
    <w:rsid w:val="00916519"/>
    <w:rsid w:val="00963EA1"/>
    <w:rsid w:val="00971445"/>
    <w:rsid w:val="00971D2F"/>
    <w:rsid w:val="009868B8"/>
    <w:rsid w:val="009A1701"/>
    <w:rsid w:val="009B6DA5"/>
    <w:rsid w:val="009F5F76"/>
    <w:rsid w:val="00A45DE4"/>
    <w:rsid w:val="00A57942"/>
    <w:rsid w:val="00A711B6"/>
    <w:rsid w:val="00A8577A"/>
    <w:rsid w:val="00A92345"/>
    <w:rsid w:val="00AB7F6D"/>
    <w:rsid w:val="00AD54AF"/>
    <w:rsid w:val="00AF0119"/>
    <w:rsid w:val="00B27580"/>
    <w:rsid w:val="00B3749A"/>
    <w:rsid w:val="00B52687"/>
    <w:rsid w:val="00BA13EB"/>
    <w:rsid w:val="00BB5C20"/>
    <w:rsid w:val="00BD206A"/>
    <w:rsid w:val="00BD4E76"/>
    <w:rsid w:val="00BD5D0D"/>
    <w:rsid w:val="00BD6F01"/>
    <w:rsid w:val="00BE70ED"/>
    <w:rsid w:val="00C328ED"/>
    <w:rsid w:val="00C471C5"/>
    <w:rsid w:val="00C978FB"/>
    <w:rsid w:val="00CA02A1"/>
    <w:rsid w:val="00CC4427"/>
    <w:rsid w:val="00D006FA"/>
    <w:rsid w:val="00D2248B"/>
    <w:rsid w:val="00D25DD3"/>
    <w:rsid w:val="00D313B9"/>
    <w:rsid w:val="00D51E6C"/>
    <w:rsid w:val="00D77DA4"/>
    <w:rsid w:val="00D91CB3"/>
    <w:rsid w:val="00DA092D"/>
    <w:rsid w:val="00DC57F3"/>
    <w:rsid w:val="00E00DA3"/>
    <w:rsid w:val="00E13991"/>
    <w:rsid w:val="00E20B82"/>
    <w:rsid w:val="00EA1A8B"/>
    <w:rsid w:val="00EA7709"/>
    <w:rsid w:val="00EB18BF"/>
    <w:rsid w:val="00EF23CD"/>
    <w:rsid w:val="00F05DA4"/>
    <w:rsid w:val="00F072FC"/>
    <w:rsid w:val="00F20F65"/>
    <w:rsid w:val="00F42902"/>
    <w:rsid w:val="00FA1365"/>
    <w:rsid w:val="00FB22A0"/>
    <w:rsid w:val="05EB6741"/>
    <w:rsid w:val="06952748"/>
    <w:rsid w:val="0A2717DA"/>
    <w:rsid w:val="0C586534"/>
    <w:rsid w:val="0D7168FC"/>
    <w:rsid w:val="0DA67082"/>
    <w:rsid w:val="0FFE57BC"/>
    <w:rsid w:val="11A72841"/>
    <w:rsid w:val="13F7637D"/>
    <w:rsid w:val="1650690F"/>
    <w:rsid w:val="1710267D"/>
    <w:rsid w:val="183E6355"/>
    <w:rsid w:val="19506C5B"/>
    <w:rsid w:val="1CE03DB0"/>
    <w:rsid w:val="1D8944B4"/>
    <w:rsid w:val="24943C13"/>
    <w:rsid w:val="26314B60"/>
    <w:rsid w:val="27935850"/>
    <w:rsid w:val="29E255E5"/>
    <w:rsid w:val="37C24D63"/>
    <w:rsid w:val="3BC964FA"/>
    <w:rsid w:val="408A5340"/>
    <w:rsid w:val="42847C5D"/>
    <w:rsid w:val="42B54FBC"/>
    <w:rsid w:val="464B7460"/>
    <w:rsid w:val="47C17175"/>
    <w:rsid w:val="4CD24473"/>
    <w:rsid w:val="513A18EE"/>
    <w:rsid w:val="51814586"/>
    <w:rsid w:val="549017C4"/>
    <w:rsid w:val="5A06012C"/>
    <w:rsid w:val="5B7014B6"/>
    <w:rsid w:val="5B756FCE"/>
    <w:rsid w:val="5BA54FC4"/>
    <w:rsid w:val="5D9479B6"/>
    <w:rsid w:val="5DB40B9E"/>
    <w:rsid w:val="5F5D32C5"/>
    <w:rsid w:val="64B740A3"/>
    <w:rsid w:val="67E721C0"/>
    <w:rsid w:val="6A163DCA"/>
    <w:rsid w:val="6C326950"/>
    <w:rsid w:val="6C81305C"/>
    <w:rsid w:val="6DD62C82"/>
    <w:rsid w:val="6F784E6B"/>
    <w:rsid w:val="732C6B29"/>
    <w:rsid w:val="75475D33"/>
    <w:rsid w:val="7CB72746"/>
    <w:rsid w:val="7E4173AF"/>
    <w:rsid w:val="7E7900D6"/>
    <w:rsid w:val="7EAE1781"/>
    <w:rsid w:val="7ED30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新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仿宋_GB2312" w:cs="Times New Roman"/>
      <w:color w:val="000000"/>
      <w:kern w:val="2"/>
      <w:sz w:val="32"/>
      <w:szCs w:val="21"/>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7"/>
    <w:qFormat/>
    <w:uiPriority w:val="0"/>
    <w:pPr>
      <w:tabs>
        <w:tab w:val="right" w:pos="4153"/>
        <w:tab w:val="left" w:leader="underscore" w:pos="8306"/>
      </w:tabs>
      <w:snapToGrid w:val="0"/>
      <w:jc w:val="left"/>
    </w:pPr>
    <w:rPr>
      <w:sz w:val="18"/>
      <w:szCs w:val="18"/>
    </w:rPr>
  </w:style>
  <w:style w:type="paragraph" w:styleId="3">
    <w:name w:val="header"/>
    <w:basedOn w:val="1"/>
    <w:link w:val="15"/>
    <w:qFormat/>
    <w:uiPriority w:val="0"/>
    <w:pPr>
      <w:pBdr>
        <w:bottom w:val="single" w:color="000000" w:sz="6" w:space="1"/>
      </w:pBdr>
      <w:tabs>
        <w:tab w:val="right" w:pos="4153"/>
        <w:tab w:val="left" w:leader="underscore" w:pos="8306"/>
      </w:tabs>
      <w:snapToGrid w:val="0"/>
      <w:jc w:val="center"/>
    </w:pPr>
    <w:rPr>
      <w:sz w:val="18"/>
      <w:szCs w:val="18"/>
    </w:rPr>
  </w:style>
  <w:style w:type="paragraph" w:styleId="4">
    <w:name w:val="Normal (Web)"/>
    <w:basedOn w:val="1"/>
    <w:semiHidden/>
    <w:unhideWhenUsed/>
    <w:qFormat/>
    <w:uiPriority w:val="99"/>
    <w:pPr>
      <w:spacing w:beforeAutospacing="1" w:afterAutospacing="1"/>
      <w:jc w:val="left"/>
    </w:pPr>
    <w:rPr>
      <w:kern w:val="0"/>
      <w:sz w:val="24"/>
    </w:rPr>
  </w:style>
  <w:style w:type="character" w:styleId="6">
    <w:name w:val="Hyperlink"/>
    <w:qFormat/>
    <w:uiPriority w:val="0"/>
    <w:rPr>
      <w:color w:val="0000FF"/>
      <w:u w:val="single"/>
    </w:rPr>
  </w:style>
  <w:style w:type="character" w:customStyle="1" w:styleId="8">
    <w:name w:val="UserStyle_1"/>
    <w:basedOn w:val="9"/>
    <w:qFormat/>
    <w:uiPriority w:val="0"/>
  </w:style>
  <w:style w:type="character" w:customStyle="1" w:styleId="9">
    <w:name w:val="NormalCharacter"/>
    <w:qFormat/>
    <w:uiPriority w:val="0"/>
  </w:style>
  <w:style w:type="character" w:customStyle="1" w:styleId="10">
    <w:name w:val="UserStyle_2"/>
    <w:qFormat/>
    <w:uiPriority w:val="0"/>
    <w:rPr>
      <w:rFonts w:ascii="Times New Roman" w:hAnsi="Times New Roman" w:eastAsia="楷体_GB2312"/>
      <w:color w:val="000000"/>
      <w:sz w:val="18"/>
      <w:szCs w:val="24"/>
    </w:rPr>
  </w:style>
  <w:style w:type="character" w:customStyle="1" w:styleId="11">
    <w:name w:val="UserStyle_0"/>
    <w:basedOn w:val="9"/>
    <w:qFormat/>
    <w:uiPriority w:val="0"/>
  </w:style>
  <w:style w:type="character" w:customStyle="1" w:styleId="12">
    <w:name w:val="页码1"/>
    <w:qFormat/>
    <w:uiPriority w:val="0"/>
    <w:rPr>
      <w:rFonts w:ascii="Times New Roman" w:hAnsi="Times New Roman" w:eastAsia="楷体_GB2312"/>
      <w:color w:val="auto"/>
      <w:sz w:val="18"/>
      <w:szCs w:val="24"/>
    </w:rPr>
  </w:style>
  <w:style w:type="character" w:customStyle="1" w:styleId="13">
    <w:name w:val="UserStyle_7"/>
    <w:basedOn w:val="9"/>
    <w:qFormat/>
    <w:uiPriority w:val="0"/>
  </w:style>
  <w:style w:type="character" w:customStyle="1" w:styleId="14">
    <w:name w:val="UserStyle_3"/>
    <w:basedOn w:val="9"/>
    <w:qFormat/>
    <w:uiPriority w:val="0"/>
  </w:style>
  <w:style w:type="character" w:customStyle="1" w:styleId="15">
    <w:name w:val="页眉 字符"/>
    <w:link w:val="3"/>
    <w:qFormat/>
    <w:uiPriority w:val="0"/>
    <w:rPr>
      <w:rFonts w:eastAsia="仿宋_GB2312"/>
      <w:color w:val="000000"/>
      <w:kern w:val="2"/>
      <w:sz w:val="18"/>
      <w:szCs w:val="18"/>
    </w:rPr>
  </w:style>
  <w:style w:type="character" w:customStyle="1" w:styleId="16">
    <w:name w:val="UserStyle_5"/>
    <w:qFormat/>
    <w:uiPriority w:val="0"/>
    <w:rPr>
      <w:rFonts w:eastAsia="宋体"/>
      <w:color w:val="000000"/>
      <w:sz w:val="21"/>
      <w:szCs w:val="21"/>
    </w:rPr>
  </w:style>
  <w:style w:type="character" w:customStyle="1" w:styleId="17">
    <w:name w:val="页脚 字符"/>
    <w:link w:val="2"/>
    <w:qFormat/>
    <w:uiPriority w:val="0"/>
    <w:rPr>
      <w:rFonts w:eastAsia="仿宋_GB2312"/>
      <w:color w:val="000000"/>
      <w:kern w:val="2"/>
      <w:sz w:val="18"/>
      <w:szCs w:val="18"/>
    </w:rPr>
  </w:style>
  <w:style w:type="paragraph" w:customStyle="1" w:styleId="18">
    <w:name w:val="AnnotationText"/>
    <w:basedOn w:val="1"/>
    <w:qFormat/>
    <w:uiPriority w:val="0"/>
    <w:pPr>
      <w:jc w:val="left"/>
    </w:pPr>
  </w:style>
  <w:style w:type="paragraph" w:customStyle="1" w:styleId="19">
    <w:name w:val="UserStyle_15"/>
    <w:basedOn w:val="1"/>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0">
    <w:name w:val="UserStyle_16"/>
    <w:basedOn w:val="1"/>
    <w:qFormat/>
    <w:uiPriority w:val="0"/>
    <w:rPr>
      <w:rFonts w:eastAsia="宋体"/>
      <w:sz w:val="21"/>
      <w:szCs w:val="24"/>
    </w:rPr>
  </w:style>
  <w:style w:type="paragraph" w:customStyle="1" w:styleId="21">
    <w:name w:val="UserStyle_18"/>
    <w:basedOn w:val="1"/>
    <w:qFormat/>
    <w:uiPriority w:val="0"/>
    <w:pPr>
      <w:tabs>
        <w:tab w:val="right" w:pos="4153"/>
        <w:tab w:val="left" w:leader="underscore" w:pos="8306"/>
      </w:tabs>
      <w:snapToGrid w:val="0"/>
      <w:jc w:val="left"/>
    </w:pPr>
    <w:rPr>
      <w:sz w:val="18"/>
      <w:szCs w:val="18"/>
    </w:rPr>
  </w:style>
  <w:style w:type="paragraph" w:customStyle="1" w:styleId="22">
    <w:name w:val="UserStyle_19"/>
    <w:basedOn w:val="18"/>
    <w:next w:val="18"/>
    <w:qFormat/>
    <w:uiPriority w:val="0"/>
  </w:style>
  <w:style w:type="paragraph" w:customStyle="1" w:styleId="23">
    <w:name w:val="UserStyle_17"/>
    <w:basedOn w:val="1"/>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4">
    <w:name w:val="UserStyle_14"/>
    <w:basedOn w:val="1"/>
    <w:qFormat/>
    <w:uiPriority w:val="0"/>
    <w:pPr>
      <w:tabs>
        <w:tab w:val="bar" w:pos="916"/>
        <w:tab w:val="left" w:leader="underscore" w:pos="1832"/>
        <w:tab w:val="left" w:leader="dot" w:pos="2748"/>
        <w:tab w:val="decimal" w:leader="underscore" w:pos="3664"/>
        <w:tab w:val="bar" w:leader="underscore" w:pos="4580"/>
        <w:tab w:val="left" w:leader="underscore" w:pos="5496"/>
        <w:tab w:val="left" w:pos="6412"/>
        <w:tab w:val="right" w:leader="middleDot" w:pos="7328"/>
        <w:tab w:val="bar" w:pos="8244"/>
        <w:tab w:val="left" w:leader="middleDot" w:pos="9160"/>
        <w:tab w:val="left" w:leader="underscore" w:pos="10076"/>
        <w:tab w:val="right" w:pos="10992"/>
        <w:tab w:val="bar" w:leader="middleDot" w:pos="11908"/>
        <w:tab w:val="left" w:pos="13740"/>
        <w:tab w:val="center" w:pos="14656"/>
      </w:tabs>
      <w:jc w:val="left"/>
    </w:pPr>
    <w:rPr>
      <w:rFonts w:ascii="宋体" w:hAnsi="宋体" w:eastAsia="宋体"/>
      <w:kern w:val="0"/>
      <w:sz w:val="24"/>
      <w:szCs w:val="24"/>
    </w:rPr>
  </w:style>
  <w:style w:type="paragraph" w:customStyle="1" w:styleId="25">
    <w:name w:val="UserStyle_9"/>
    <w:basedOn w:val="26"/>
    <w:qFormat/>
    <w:uiPriority w:val="0"/>
    <w:pPr>
      <w:pBdr>
        <w:bottom w:val="single" w:color="000000" w:sz="6" w:space="1"/>
      </w:pBdr>
      <w:tabs>
        <w:tab w:val="right" w:pos="4153"/>
        <w:tab w:val="left" w:leader="underscore" w:pos="8306"/>
      </w:tabs>
      <w:snapToGrid w:val="0"/>
      <w:jc w:val="center"/>
    </w:pPr>
    <w:rPr>
      <w:sz w:val="18"/>
      <w:szCs w:val="18"/>
    </w:rPr>
  </w:style>
  <w:style w:type="paragraph" w:customStyle="1" w:styleId="26">
    <w:name w:val="UserStyle_10"/>
    <w:qFormat/>
    <w:uiPriority w:val="0"/>
    <w:pPr>
      <w:jc w:val="both"/>
    </w:pPr>
    <w:rPr>
      <w:rFonts w:ascii="Times New Roman" w:hAnsi="Times New Roman" w:eastAsia="仿宋_GB2312" w:cs="Times New Roman"/>
      <w:kern w:val="2"/>
      <w:sz w:val="32"/>
      <w:szCs w:val="24"/>
      <w:lang w:val="en-US" w:eastAsia="zh-CN" w:bidi="ar-SA"/>
    </w:rPr>
  </w:style>
  <w:style w:type="paragraph" w:customStyle="1" w:styleId="27">
    <w:name w:val="UserStyle_8"/>
    <w:basedOn w:val="1"/>
    <w:qFormat/>
    <w:uiPriority w:val="0"/>
    <w:pPr>
      <w:tabs>
        <w:tab w:val="right" w:pos="4153"/>
        <w:tab w:val="left" w:leader="underscore" w:pos="8306"/>
      </w:tabs>
      <w:snapToGrid w:val="0"/>
      <w:jc w:val="left"/>
    </w:pPr>
    <w:rPr>
      <w:sz w:val="18"/>
      <w:szCs w:val="18"/>
    </w:rPr>
  </w:style>
  <w:style w:type="paragraph" w:customStyle="1" w:styleId="28">
    <w:name w:val="UserStyle_11"/>
    <w:basedOn w:val="1"/>
    <w:qFormat/>
    <w:uiPriority w:val="0"/>
    <w:rPr>
      <w:rFonts w:eastAsia="宋体"/>
      <w:sz w:val="21"/>
      <w:szCs w:val="24"/>
    </w:rPr>
  </w:style>
  <w:style w:type="paragraph" w:customStyle="1" w:styleId="29">
    <w:name w:val="UserStyle_12"/>
    <w:basedOn w:val="26"/>
    <w:qFormat/>
    <w:uiPriority w:val="0"/>
    <w:pPr>
      <w:tabs>
        <w:tab w:val="right" w:pos="4153"/>
        <w:tab w:val="left" w:leader="underscore" w:pos="8306"/>
      </w:tabs>
      <w:snapToGrid w:val="0"/>
      <w:jc w:val="left"/>
    </w:pPr>
    <w:rPr>
      <w:sz w:val="18"/>
      <w:szCs w:val="18"/>
    </w:rPr>
  </w:style>
  <w:style w:type="paragraph" w:customStyle="1" w:styleId="30">
    <w:name w:val="Acetate"/>
    <w:basedOn w:val="1"/>
    <w:qFormat/>
    <w:uiPriority w:val="0"/>
    <w:rPr>
      <w:sz w:val="18"/>
      <w:szCs w:val="18"/>
    </w:rPr>
  </w:style>
  <w:style w:type="paragraph" w:customStyle="1" w:styleId="31">
    <w:name w:val="UserStyle_13"/>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324</Words>
  <Characters>1848</Characters>
  <Lines>15</Lines>
  <Paragraphs>4</Paragraphs>
  <TotalTime>348</TotalTime>
  <ScaleCrop>false</ScaleCrop>
  <LinksUpToDate>false</LinksUpToDate>
  <CharactersWithSpaces>2168</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2020-05-26T07:25:00Z</dcterms:created>
  <dc:creator>Administrator</dc:creator>
  <cp:lastModifiedBy>丛丛</cp:lastModifiedBy>
  <cp:lastPrinted>2021-04-02T08:10:39Z</cp:lastPrinted>
  <dcterms:modified xsi:type="dcterms:W3CDTF">2021-04-02T08:10:43Z</dcterms:modified>
  <dc:title>粤技管〔2019〕  号</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19E75545E26B45A1B9DD23B28F751DB2</vt:lpwstr>
  </property>
</Properties>
</file>